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02A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bookmarkStart w:id="0" w:name="_GoBack"/>
      <w:bookmarkEnd w:id="0"/>
    </w:p>
    <w:p w14:paraId="7DC412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新华网2025乡村振兴实践案例征集表</w:t>
      </w:r>
    </w:p>
    <w:tbl>
      <w:tblPr>
        <w:tblStyle w:val="3"/>
        <w:tblpPr w:leftFromText="180" w:rightFromText="180" w:vertAnchor="text" w:horzAnchor="page" w:tblpX="2002"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1050"/>
        <w:gridCol w:w="1381"/>
        <w:gridCol w:w="1352"/>
        <w:gridCol w:w="1188"/>
        <w:gridCol w:w="1541"/>
      </w:tblGrid>
      <w:tr w14:paraId="4085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0" w:type="pct"/>
            <w:vAlign w:val="center"/>
          </w:tcPr>
          <w:p w14:paraId="41BC6CAB">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单位名称</w:t>
            </w:r>
          </w:p>
        </w:tc>
        <w:tc>
          <w:tcPr>
            <w:tcW w:w="3819" w:type="pct"/>
            <w:gridSpan w:val="5"/>
            <w:vAlign w:val="center"/>
          </w:tcPr>
          <w:p w14:paraId="73C57E47">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r>
      <w:tr w14:paraId="6E78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0" w:type="pct"/>
            <w:vAlign w:val="center"/>
          </w:tcPr>
          <w:p w14:paraId="22C8F586">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eastAsia="zh-CN"/>
              </w:rPr>
              <w:t>单位所属区域</w:t>
            </w:r>
          </w:p>
          <w:p w14:paraId="55AC9551">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（单选）</w:t>
            </w:r>
          </w:p>
        </w:tc>
        <w:tc>
          <w:tcPr>
            <w:tcW w:w="3819" w:type="pct"/>
            <w:gridSpan w:val="5"/>
            <w:vAlign w:val="center"/>
          </w:tcPr>
          <w:p w14:paraId="32FFE66D">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□全国  □华北  □华东  □华南</w:t>
            </w:r>
          </w:p>
          <w:p w14:paraId="4F9C4002">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b w:val="0"/>
                <w:bCs w:val="0"/>
                <w:snapToGrid/>
                <w:color w:val="000000"/>
                <w:kern w:val="2"/>
                <w:sz w:val="21"/>
                <w:szCs w:val="21"/>
                <w:lang w:val="en-US" w:eastAsia="zh-CN" w:bidi="ar-SA"/>
              </w:rPr>
              <w:t>□华中  □东北  □西南  □西北</w:t>
            </w:r>
          </w:p>
        </w:tc>
      </w:tr>
      <w:tr w14:paraId="7918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0" w:type="pct"/>
            <w:vAlign w:val="center"/>
          </w:tcPr>
          <w:p w14:paraId="68A3B06C">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详细地址及邮编</w:t>
            </w:r>
          </w:p>
        </w:tc>
        <w:tc>
          <w:tcPr>
            <w:tcW w:w="3819" w:type="pct"/>
            <w:gridSpan w:val="5"/>
            <w:vAlign w:val="center"/>
          </w:tcPr>
          <w:p w14:paraId="7866EE2F">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r>
      <w:tr w14:paraId="3D3F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0" w:type="pct"/>
            <w:vAlign w:val="center"/>
          </w:tcPr>
          <w:p w14:paraId="4C8758A3">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法人/负责人</w:t>
            </w:r>
          </w:p>
        </w:tc>
        <w:tc>
          <w:tcPr>
            <w:tcW w:w="616" w:type="pct"/>
            <w:vAlign w:val="center"/>
          </w:tcPr>
          <w:p w14:paraId="5451F230">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c>
          <w:tcPr>
            <w:tcW w:w="810" w:type="pct"/>
            <w:vAlign w:val="center"/>
          </w:tcPr>
          <w:p w14:paraId="523B618F">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现任职务</w:t>
            </w:r>
          </w:p>
        </w:tc>
        <w:tc>
          <w:tcPr>
            <w:tcW w:w="793" w:type="pct"/>
            <w:vAlign w:val="center"/>
          </w:tcPr>
          <w:p w14:paraId="7CC9804B">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c>
          <w:tcPr>
            <w:tcW w:w="697" w:type="pct"/>
            <w:vAlign w:val="center"/>
          </w:tcPr>
          <w:p w14:paraId="08DE0FA7">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联系方式</w:t>
            </w:r>
          </w:p>
        </w:tc>
        <w:tc>
          <w:tcPr>
            <w:tcW w:w="902" w:type="pct"/>
            <w:vAlign w:val="center"/>
          </w:tcPr>
          <w:p w14:paraId="08E0E530">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r>
      <w:tr w14:paraId="5C22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0" w:type="pct"/>
            <w:vAlign w:val="center"/>
          </w:tcPr>
          <w:p w14:paraId="721389C5">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联系人</w:t>
            </w:r>
          </w:p>
        </w:tc>
        <w:tc>
          <w:tcPr>
            <w:tcW w:w="616" w:type="pct"/>
            <w:vAlign w:val="center"/>
          </w:tcPr>
          <w:p w14:paraId="69EFBFD3">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c>
          <w:tcPr>
            <w:tcW w:w="810" w:type="pct"/>
            <w:vAlign w:val="center"/>
          </w:tcPr>
          <w:p w14:paraId="5724AD5E">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部门及职务</w:t>
            </w:r>
          </w:p>
        </w:tc>
        <w:tc>
          <w:tcPr>
            <w:tcW w:w="793" w:type="pct"/>
            <w:vAlign w:val="center"/>
          </w:tcPr>
          <w:p w14:paraId="3A2D6BA0">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c>
          <w:tcPr>
            <w:tcW w:w="697" w:type="pct"/>
            <w:vAlign w:val="center"/>
          </w:tcPr>
          <w:p w14:paraId="531435EB">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2"/>
                <w:szCs w:val="22"/>
                <w:lang w:val="en-US" w:eastAsia="zh-CN"/>
              </w:rPr>
              <w:t>手机号</w:t>
            </w:r>
          </w:p>
        </w:tc>
        <w:tc>
          <w:tcPr>
            <w:tcW w:w="902" w:type="pct"/>
            <w:vAlign w:val="center"/>
          </w:tcPr>
          <w:p w14:paraId="27028644">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4"/>
                <w:szCs w:val="24"/>
                <w:lang w:val="en-US" w:eastAsia="zh-CN"/>
              </w:rPr>
            </w:pPr>
          </w:p>
        </w:tc>
      </w:tr>
      <w:tr w14:paraId="0775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6"/>
            <w:vAlign w:val="center"/>
          </w:tcPr>
          <w:p w14:paraId="2A3831A6">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snapToGrid/>
                <w:kern w:val="2"/>
                <w:sz w:val="21"/>
                <w:szCs w:val="21"/>
              </w:rPr>
            </w:pPr>
            <w:r>
              <w:rPr>
                <w:rFonts w:hint="eastAsia" w:ascii="黑体" w:hAnsi="黑体" w:eastAsia="黑体" w:cs="黑体"/>
                <w:snapToGrid/>
                <w:kern w:val="2"/>
                <w:sz w:val="24"/>
                <w:szCs w:val="24"/>
                <w:lang w:val="en-US" w:eastAsia="zh-CN"/>
              </w:rPr>
              <w:t>案例所属类别（仅可选1个）</w:t>
            </w:r>
          </w:p>
        </w:tc>
      </w:tr>
      <w:tr w14:paraId="7F95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80" w:type="pct"/>
            <w:vAlign w:val="center"/>
          </w:tcPr>
          <w:p w14:paraId="534E832F">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□产业发展</w:t>
            </w:r>
          </w:p>
        </w:tc>
        <w:tc>
          <w:tcPr>
            <w:tcW w:w="3819" w:type="pct"/>
            <w:gridSpan w:val="5"/>
            <w:vAlign w:val="center"/>
          </w:tcPr>
          <w:p w14:paraId="490EEE20">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黑体" w:hAnsi="黑体" w:eastAsia="黑体" w:cs="黑体"/>
                <w:b w:val="0"/>
                <w:bCs w:val="0"/>
                <w:lang w:val="en-US"/>
              </w:rPr>
            </w:pPr>
            <w:r>
              <w:rPr>
                <w:rFonts w:hint="eastAsia" w:ascii="仿宋_GB2312" w:hAnsi="宋体" w:eastAsia="仿宋_GB2312" w:cs="仿宋_GB2312"/>
                <w:color w:val="000000"/>
                <w:kern w:val="0"/>
                <w:sz w:val="22"/>
                <w:szCs w:val="22"/>
                <w:lang w:val="en-US" w:eastAsia="zh-CN"/>
              </w:rPr>
              <w:t>坚持产业兴农核心思路，积极培育县域范围内比较优势明显、带动农业农村能力强、就业容量大的特色产业，前瞻性布局培育乡村新产业新业态，健全新型农业经营主体扶持政策同带动农户增收挂钩机制，引导农民发展适合家庭经营的产业项目，多措并举，推动兴业、强县、富民一体发展的实践案例。</w:t>
            </w:r>
          </w:p>
        </w:tc>
      </w:tr>
      <w:tr w14:paraId="6829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80" w:type="pct"/>
            <w:vAlign w:val="center"/>
          </w:tcPr>
          <w:p w14:paraId="05F11E89">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□科技创新</w:t>
            </w:r>
          </w:p>
        </w:tc>
        <w:tc>
          <w:tcPr>
            <w:tcW w:w="3819" w:type="pct"/>
            <w:gridSpan w:val="5"/>
            <w:vAlign w:val="center"/>
          </w:tcPr>
          <w:p w14:paraId="41BC53BC">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积极探索现代农业发展的新技术、新模式，强化农业科研资源力量统筹，加大种业创新投入，推进生物育种产业化，加快实现重要农产品的种源自主可控，大力支持发展智慧农业，拓展人工智能、大数据、无人机等技术应用场景，助力农业集约化、标准化、机械化、绿色化、数智化发展的实践案例。</w:t>
            </w:r>
          </w:p>
        </w:tc>
      </w:tr>
      <w:tr w14:paraId="7997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80" w:type="pct"/>
            <w:vAlign w:val="center"/>
          </w:tcPr>
          <w:p w14:paraId="0EBEC890">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□文旅融合</w:t>
            </w:r>
          </w:p>
        </w:tc>
        <w:tc>
          <w:tcPr>
            <w:tcW w:w="3819" w:type="pct"/>
            <w:gridSpan w:val="5"/>
            <w:vAlign w:val="center"/>
          </w:tcPr>
          <w:p w14:paraId="60AEC6DF">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系统梳理、精准凝练植根于乡村的历史记忆、生活实践与价值谱系，依托差异性的文化IP，吸引社会资本，创新运营方式，强化场景体验，丰富消费业态，推进乡村文化和旅游深度融合，以真情讲好乡村发展故事，全方位展示乡村独特魅力，不断提升乡村旅游特色化、精品化、规范化水平，让乡村经济迸发新活力的实践案例。</w:t>
            </w:r>
          </w:p>
        </w:tc>
      </w:tr>
      <w:tr w14:paraId="7F7A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80" w:type="pct"/>
            <w:vAlign w:val="center"/>
          </w:tcPr>
          <w:p w14:paraId="3F609F17">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□品牌发展</w:t>
            </w:r>
          </w:p>
        </w:tc>
        <w:tc>
          <w:tcPr>
            <w:tcW w:w="3819" w:type="pct"/>
            <w:gridSpan w:val="5"/>
            <w:vAlign w:val="center"/>
          </w:tcPr>
          <w:p w14:paraId="47599418">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围绕品牌强农战略，深挖区域资源比较优势，聚焦特色品类，塑强品质过硬、特色鲜明、带动力强、知名度美誉度消费忠诚度高的农产品区域公用品牌，培育推介产品优、信誉好、产业带动作用明显、具有核心竞争力的企业品牌和优质特色农产品品牌，以品牌强农新举措打开乡村振兴新局面的实践案例。</w:t>
            </w:r>
          </w:p>
        </w:tc>
      </w:tr>
      <w:tr w14:paraId="6659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80" w:type="pct"/>
            <w:vAlign w:val="center"/>
          </w:tcPr>
          <w:p w14:paraId="3256054B">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□乡村建设</w:t>
            </w:r>
          </w:p>
        </w:tc>
        <w:tc>
          <w:tcPr>
            <w:tcW w:w="3819" w:type="pct"/>
            <w:gridSpan w:val="5"/>
            <w:vAlign w:val="center"/>
          </w:tcPr>
          <w:p w14:paraId="6B86A6C0">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深刻理解宜居宜业和美乡村重点任务之间的内在逻辑关系，统筹县域城乡规划布局，推动基础设施提档升级，稳步提高农村基本公共服务水平，优化乡村规划建设，加强农村生态环境治理，深入打好农业农村污染治理攻坚战，助力形成积极向上的文明风尚，打造安定祥和的社会环境，切实提升农村居民幸福感、获得感的实践案例。</w:t>
            </w:r>
          </w:p>
        </w:tc>
      </w:tr>
      <w:tr w14:paraId="3290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80" w:type="pct"/>
            <w:vAlign w:val="center"/>
          </w:tcPr>
          <w:p w14:paraId="5D7AFDE3">
            <w:pPr>
              <w:pStyle w:val="7"/>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□数字乡村</w:t>
            </w:r>
          </w:p>
        </w:tc>
        <w:tc>
          <w:tcPr>
            <w:tcW w:w="3819" w:type="pct"/>
            <w:gridSpan w:val="5"/>
            <w:vAlign w:val="center"/>
          </w:tcPr>
          <w:p w14:paraId="53FDAB40">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紧密结合乡村发展、乡村建设和乡村治理实际战略需求，进一步完善农村网络基础设施、加快农村基础设施数智化改造，夯实乡村数字发展基础，推进农机装备与数字技术深度融合，以及覆盖农村人口的防止返贫致贫监测帮扶促乡村振兴大数据平台建设，以数字乡村发展带动乡村产业革新、教育供给、文化传承、基层治理、金融服务、人才发展全方位升级的实践案例。</w:t>
            </w:r>
          </w:p>
        </w:tc>
      </w:tr>
      <w:tr w14:paraId="578A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80" w:type="pct"/>
            <w:vAlign w:val="center"/>
          </w:tcPr>
          <w:p w14:paraId="54AE8BBE">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□绿色生态</w:t>
            </w:r>
          </w:p>
        </w:tc>
        <w:tc>
          <w:tcPr>
            <w:tcW w:w="3819" w:type="pct"/>
            <w:gridSpan w:val="5"/>
            <w:vAlign w:val="center"/>
          </w:tcPr>
          <w:p w14:paraId="33932451">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牢固树立和践行绿水青山就是金山银山的理念，坚持科技创新引领，推广绿色生产技术，提升农业绿色低碳发展水平，改善乡村生态环境，健全激励约束机制与生态保护补偿机制，开展乡村生态产品经营开发，打造生态产品区域公用品牌，加大绿色金融支持，为乡村全面振兴提供坚实资源环境保障的实践案例。</w:t>
            </w:r>
          </w:p>
        </w:tc>
      </w:tr>
      <w:tr w14:paraId="1DD4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80" w:type="pct"/>
            <w:vAlign w:val="center"/>
          </w:tcPr>
          <w:p w14:paraId="0FDF04FD">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□党建引领</w:t>
            </w:r>
          </w:p>
        </w:tc>
        <w:tc>
          <w:tcPr>
            <w:tcW w:w="3819" w:type="pct"/>
            <w:gridSpan w:val="5"/>
            <w:vAlign w:val="center"/>
          </w:tcPr>
          <w:p w14:paraId="761FCD58">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充分发挥党支部战斗堡垒作用和党员先锋模范作用，稳步推进农村基层党组织标准化建设，构建党的创新理论学习教育赋能乡村振兴常态化机制，在解决年轻干部“水土不服”问题、夯实干部队伍建设等方面取得扎实成效，推动高质量党建与产业振兴深度融合，提升乡村振兴成效的实践案例。</w:t>
            </w:r>
          </w:p>
        </w:tc>
      </w:tr>
      <w:tr w14:paraId="5ABF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0" w:type="pct"/>
            <w:vAlign w:val="center"/>
          </w:tcPr>
          <w:p w14:paraId="5ACD618B">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□文化传承</w:t>
            </w:r>
          </w:p>
        </w:tc>
        <w:tc>
          <w:tcPr>
            <w:tcW w:w="3819" w:type="pct"/>
            <w:gridSpan w:val="5"/>
            <w:vAlign w:val="center"/>
          </w:tcPr>
          <w:p w14:paraId="3D052B1E">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注重培育新时代文明乡风促进乡村全面振兴，积极发挥文明乡风在浸润人心、引领向善、规范行为、凝聚力量方面的积极作用，在强化思想引领、丰富文化供给、推进移风易俗、保护乡村文化遗产等方面持续发力，进一步提升乡村精神风貌，重塑乡村文化生态，增强乡村文化影响力，夯实乡村全面振兴的文化基础，助力乡村高质量发展，并且创新性推进乡村优秀文化与现代产业发展相融合，拓展文化发展空间、延长文化产业链价值链的实践案例。</w:t>
            </w:r>
          </w:p>
        </w:tc>
      </w:tr>
      <w:tr w14:paraId="390B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80" w:type="pct"/>
            <w:vAlign w:val="center"/>
          </w:tcPr>
          <w:p w14:paraId="393DE8B8">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□金融创新</w:t>
            </w:r>
          </w:p>
        </w:tc>
        <w:tc>
          <w:tcPr>
            <w:tcW w:w="3819" w:type="pct"/>
            <w:gridSpan w:val="5"/>
            <w:vAlign w:val="center"/>
          </w:tcPr>
          <w:p w14:paraId="325E95ED">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紧贴乡村振兴投融资需求变化，结合地方发展实际，深度介入县域经济和产业链的各个环节，进一步优化金融资源供给。创造性用好多种工具手段，在完善农村信用体系建设、健全多层次农业保险体系等方面重点发力，凸显乡村金融的社会功能、催化功能和资源整合功能，以金融服务新作为盘活乡村发展新业态的实践案例。</w:t>
            </w:r>
          </w:p>
        </w:tc>
      </w:tr>
      <w:tr w14:paraId="2D92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80" w:type="pct"/>
            <w:vAlign w:val="center"/>
          </w:tcPr>
          <w:p w14:paraId="46B0BFB8">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□人才提质</w:t>
            </w:r>
          </w:p>
        </w:tc>
        <w:tc>
          <w:tcPr>
            <w:tcW w:w="3819" w:type="pct"/>
            <w:gridSpan w:val="5"/>
            <w:vAlign w:val="center"/>
          </w:tcPr>
          <w:p w14:paraId="02DA5F6F">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把乡村人才队伍建设作为有效推进乡村全面振兴的重要支撑，统筹加强农业农村人才培训培育资源，持续壮大农村各类专业人才和实用人才队伍，健全乡村人才工作体制机制，以全方位服务吸引人才高质量回流，强化人才振兴保障与激励措施，助力各类人才真正扎根乡土、服务产业，为乡村振兴各项事业的深层次发展带来新的活力的实践案例。</w:t>
            </w:r>
          </w:p>
        </w:tc>
      </w:tr>
      <w:tr w14:paraId="5440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80" w:type="pct"/>
            <w:vAlign w:val="center"/>
          </w:tcPr>
          <w:p w14:paraId="40E663C8">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r>
              <w:rPr>
                <w:rFonts w:hint="eastAsia" w:ascii="黑体" w:hAnsi="黑体" w:eastAsia="黑体" w:cs="黑体"/>
                <w:b w:val="0"/>
                <w:bCs w:val="0"/>
                <w:snapToGrid/>
                <w:color w:val="000000"/>
                <w:kern w:val="2"/>
                <w:sz w:val="21"/>
                <w:szCs w:val="21"/>
                <w:lang w:val="en-US" w:eastAsia="zh-CN" w:bidi="ar-SA"/>
              </w:rPr>
              <w:t>□新型主体</w:t>
            </w:r>
          </w:p>
        </w:tc>
        <w:tc>
          <w:tcPr>
            <w:tcW w:w="3819" w:type="pct"/>
            <w:gridSpan w:val="5"/>
            <w:vAlign w:val="center"/>
          </w:tcPr>
          <w:p w14:paraId="6AAB8772">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通过创新举措支持农民合作社进一步夯实自身组织团队建设基础，聚焦特色品牌培育，强化产销对接，提升运营质量，推进新型农业经营主体提质强基增能，实现联农带农机制健全高效、发展质量效益稳步提升、更多农民增收致富的良好局面，推动农村可持续与高质量发展，全面助力乡村振兴的实践案例。</w:t>
            </w:r>
          </w:p>
        </w:tc>
      </w:tr>
      <w:tr w14:paraId="117B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80" w:type="pct"/>
            <w:vAlign w:val="center"/>
          </w:tcPr>
          <w:p w14:paraId="54EAD3DF">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eastAsia="zh-CN"/>
              </w:rPr>
              <w:t>案例主题名称</w:t>
            </w:r>
          </w:p>
        </w:tc>
        <w:tc>
          <w:tcPr>
            <w:tcW w:w="3819" w:type="pct"/>
            <w:gridSpan w:val="5"/>
            <w:vAlign w:val="center"/>
          </w:tcPr>
          <w:p w14:paraId="4FD8AAE5">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b w:val="0"/>
                <w:bCs w:val="0"/>
                <w:snapToGrid/>
                <w:color w:val="000000"/>
                <w:kern w:val="2"/>
                <w:sz w:val="21"/>
                <w:szCs w:val="21"/>
                <w:lang w:val="en-US" w:eastAsia="zh-CN" w:bidi="ar-SA"/>
              </w:rPr>
            </w:pPr>
          </w:p>
        </w:tc>
      </w:tr>
      <w:tr w14:paraId="44D7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180" w:type="pct"/>
            <w:vAlign w:val="center"/>
          </w:tcPr>
          <w:p w14:paraId="4AEF89B0">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rPr>
            </w:pPr>
            <w:r>
              <w:rPr>
                <w:rFonts w:hint="eastAsia" w:ascii="黑体" w:hAnsi="黑体" w:eastAsia="黑体" w:cs="黑体"/>
                <w:snapToGrid/>
                <w:kern w:val="2"/>
                <w:sz w:val="22"/>
                <w:szCs w:val="22"/>
                <w:lang w:val="en-US"/>
              </w:rPr>
              <w:t>案例摘要</w:t>
            </w:r>
          </w:p>
        </w:tc>
        <w:tc>
          <w:tcPr>
            <w:tcW w:w="3819" w:type="pct"/>
            <w:gridSpan w:val="5"/>
            <w:vAlign w:val="center"/>
          </w:tcPr>
          <w:p w14:paraId="18151794">
            <w:pPr>
              <w:widowControl/>
              <w:jc w:val="both"/>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（200-300字）</w:t>
            </w:r>
          </w:p>
        </w:tc>
      </w:tr>
      <w:tr w14:paraId="77E5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0" w:type="pct"/>
            <w:vAlign w:val="center"/>
          </w:tcPr>
          <w:p w14:paraId="5734405E">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default"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rPr>
              <w:t>案例背景</w:t>
            </w:r>
            <w:r>
              <w:rPr>
                <w:rFonts w:hint="eastAsia" w:ascii="黑体" w:hAnsi="黑体" w:eastAsia="黑体" w:cs="黑体"/>
                <w:snapToGrid/>
                <w:kern w:val="2"/>
                <w:sz w:val="22"/>
                <w:szCs w:val="22"/>
                <w:lang w:val="en-US" w:eastAsia="zh-CN"/>
              </w:rPr>
              <w:t>及目标</w:t>
            </w:r>
          </w:p>
        </w:tc>
        <w:tc>
          <w:tcPr>
            <w:tcW w:w="3819" w:type="pct"/>
            <w:gridSpan w:val="5"/>
            <w:vAlign w:val="center"/>
          </w:tcPr>
          <w:p w14:paraId="177C64F9">
            <w:pPr>
              <w:widowControl/>
              <w:jc w:val="both"/>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（200-300字）</w:t>
            </w:r>
          </w:p>
        </w:tc>
      </w:tr>
      <w:tr w14:paraId="7FEF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80" w:type="pct"/>
            <w:vAlign w:val="center"/>
          </w:tcPr>
          <w:p w14:paraId="57C02590">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rPr>
            </w:pPr>
            <w:r>
              <w:rPr>
                <w:rFonts w:hint="eastAsia" w:ascii="黑体" w:hAnsi="黑体" w:eastAsia="黑体" w:cs="黑体"/>
                <w:snapToGrid/>
                <w:kern w:val="2"/>
                <w:sz w:val="22"/>
                <w:szCs w:val="22"/>
                <w:lang w:val="en-US"/>
              </w:rPr>
              <w:t>案例主要做法</w:t>
            </w:r>
          </w:p>
        </w:tc>
        <w:tc>
          <w:tcPr>
            <w:tcW w:w="3819" w:type="pct"/>
            <w:gridSpan w:val="5"/>
            <w:vAlign w:val="center"/>
          </w:tcPr>
          <w:p w14:paraId="35C204C2">
            <w:pPr>
              <w:widowControl/>
              <w:jc w:val="both"/>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（1</w:t>
            </w:r>
            <w:r>
              <w:rPr>
                <w:rFonts w:hint="eastAsia" w:ascii="仿宋_GB2312" w:hAnsi="宋体" w:eastAsia="仿宋_GB2312" w:cs="仿宋_GB2312"/>
                <w:color w:val="000000"/>
                <w:kern w:val="0"/>
                <w:sz w:val="22"/>
                <w:szCs w:val="22"/>
                <w:lang w:val="en-US" w:eastAsia="zh-CN"/>
              </w:rPr>
              <w:t>5</w:t>
            </w:r>
            <w:r>
              <w:rPr>
                <w:rFonts w:hint="eastAsia" w:ascii="仿宋_GB2312" w:hAnsi="宋体" w:eastAsia="仿宋_GB2312" w:cs="仿宋_GB2312"/>
                <w:color w:val="000000"/>
                <w:kern w:val="0"/>
                <w:sz w:val="22"/>
                <w:szCs w:val="22"/>
              </w:rPr>
              <w:t>00字以内）</w:t>
            </w:r>
          </w:p>
        </w:tc>
      </w:tr>
      <w:tr w14:paraId="72C0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180" w:type="pct"/>
            <w:vAlign w:val="center"/>
          </w:tcPr>
          <w:p w14:paraId="35510CDC">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rPr>
              <w:t>案例取得成果</w:t>
            </w:r>
            <w:r>
              <w:rPr>
                <w:rFonts w:hint="eastAsia" w:ascii="黑体" w:hAnsi="黑体" w:eastAsia="黑体" w:cs="黑体"/>
                <w:snapToGrid/>
                <w:kern w:val="2"/>
                <w:sz w:val="22"/>
                <w:szCs w:val="22"/>
                <w:lang w:val="en-US" w:eastAsia="zh-CN"/>
              </w:rPr>
              <w:t>成效</w:t>
            </w:r>
          </w:p>
        </w:tc>
        <w:tc>
          <w:tcPr>
            <w:tcW w:w="3819" w:type="pct"/>
            <w:gridSpan w:val="5"/>
            <w:vAlign w:val="center"/>
          </w:tcPr>
          <w:p w14:paraId="64D1ABB2">
            <w:pPr>
              <w:widowControl/>
              <w:jc w:val="both"/>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（1</w:t>
            </w:r>
            <w:r>
              <w:rPr>
                <w:rFonts w:hint="eastAsia" w:ascii="仿宋_GB2312" w:hAnsi="宋体" w:eastAsia="仿宋_GB2312" w:cs="仿宋_GB2312"/>
                <w:color w:val="000000"/>
                <w:kern w:val="0"/>
                <w:sz w:val="22"/>
                <w:szCs w:val="22"/>
                <w:lang w:val="en-US" w:eastAsia="zh-CN"/>
              </w:rPr>
              <w:t>5</w:t>
            </w:r>
            <w:r>
              <w:rPr>
                <w:rFonts w:hint="eastAsia" w:ascii="仿宋_GB2312" w:hAnsi="宋体" w:eastAsia="仿宋_GB2312" w:cs="仿宋_GB2312"/>
                <w:color w:val="000000"/>
                <w:kern w:val="0"/>
                <w:sz w:val="22"/>
                <w:szCs w:val="22"/>
              </w:rPr>
              <w:t>00字以内）</w:t>
            </w:r>
          </w:p>
        </w:tc>
      </w:tr>
      <w:tr w14:paraId="2574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180" w:type="pct"/>
            <w:vAlign w:val="center"/>
          </w:tcPr>
          <w:p w14:paraId="1C925B9D">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rPr>
            </w:pPr>
            <w:r>
              <w:rPr>
                <w:rFonts w:hint="eastAsia" w:ascii="黑体" w:hAnsi="黑体" w:eastAsia="黑体" w:cs="黑体"/>
                <w:snapToGrid/>
                <w:kern w:val="2"/>
                <w:sz w:val="22"/>
                <w:szCs w:val="22"/>
                <w:lang w:val="en-US"/>
              </w:rPr>
              <w:t>经验启示</w:t>
            </w:r>
          </w:p>
          <w:p w14:paraId="18F13695">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rPr>
            </w:pPr>
            <w:r>
              <w:rPr>
                <w:rFonts w:hint="eastAsia" w:ascii="黑体" w:hAnsi="黑体" w:eastAsia="黑体" w:cs="黑体"/>
                <w:snapToGrid/>
                <w:kern w:val="2"/>
                <w:sz w:val="22"/>
                <w:szCs w:val="22"/>
                <w:lang w:val="en-US"/>
              </w:rPr>
              <w:t>与主要意义</w:t>
            </w:r>
          </w:p>
        </w:tc>
        <w:tc>
          <w:tcPr>
            <w:tcW w:w="3819" w:type="pct"/>
            <w:gridSpan w:val="5"/>
            <w:vAlign w:val="center"/>
          </w:tcPr>
          <w:p w14:paraId="5D98145A">
            <w:pPr>
              <w:widowControl/>
              <w:jc w:val="both"/>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10</w:t>
            </w:r>
            <w:r>
              <w:rPr>
                <w:rFonts w:hint="eastAsia" w:ascii="仿宋_GB2312" w:hAnsi="宋体" w:eastAsia="仿宋_GB2312" w:cs="仿宋_GB2312"/>
                <w:color w:val="000000"/>
                <w:kern w:val="0"/>
                <w:sz w:val="22"/>
                <w:szCs w:val="22"/>
              </w:rPr>
              <w:t>00字以内）</w:t>
            </w:r>
          </w:p>
        </w:tc>
      </w:tr>
      <w:tr w14:paraId="5DB8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80" w:type="pct"/>
            <w:vAlign w:val="center"/>
          </w:tcPr>
          <w:p w14:paraId="7E536009">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kern w:val="2"/>
                <w:sz w:val="22"/>
                <w:szCs w:val="22"/>
                <w:lang w:val="en-US"/>
              </w:rPr>
            </w:pPr>
            <w:r>
              <w:rPr>
                <w:rFonts w:hint="eastAsia" w:ascii="黑体" w:hAnsi="黑体" w:eastAsia="黑体" w:cs="黑体"/>
                <w:snapToGrid/>
                <w:kern w:val="2"/>
                <w:sz w:val="22"/>
                <w:szCs w:val="22"/>
                <w:lang w:val="en-US"/>
              </w:rPr>
              <w:t>案例所获荣誉</w:t>
            </w:r>
          </w:p>
        </w:tc>
        <w:tc>
          <w:tcPr>
            <w:tcW w:w="3819" w:type="pct"/>
            <w:gridSpan w:val="5"/>
            <w:vAlign w:val="center"/>
          </w:tcPr>
          <w:p w14:paraId="1589A002">
            <w:pPr>
              <w:widowControl/>
              <w:jc w:val="both"/>
              <w:textAlignment w:val="center"/>
              <w:rPr>
                <w:rFonts w:hint="eastAsia" w:ascii="仿宋_GB2312" w:hAnsi="宋体" w:eastAsia="仿宋_GB2312" w:cs="仿宋_GB2312"/>
                <w:color w:val="000000"/>
                <w:kern w:val="0"/>
                <w:sz w:val="22"/>
                <w:szCs w:val="22"/>
                <w:lang w:eastAsia="zh-CN"/>
              </w:rPr>
            </w:pPr>
            <w:r>
              <w:rPr>
                <w:rFonts w:hint="eastAsia" w:ascii="仿宋_GB2312" w:hAnsi="宋体" w:eastAsia="仿宋_GB2312" w:cs="仿宋_GB2312"/>
                <w:color w:val="000000"/>
                <w:kern w:val="0"/>
                <w:sz w:val="22"/>
                <w:szCs w:val="22"/>
              </w:rPr>
              <w:t>（</w:t>
            </w:r>
            <w:r>
              <w:rPr>
                <w:rFonts w:hint="eastAsia" w:ascii="仿宋_GB2312" w:hAnsi="宋体" w:eastAsia="仿宋_GB2312" w:cs="仿宋_GB2312"/>
                <w:color w:val="000000"/>
                <w:kern w:val="0"/>
                <w:sz w:val="22"/>
                <w:szCs w:val="22"/>
                <w:lang w:val="en-US" w:eastAsia="zh-CN"/>
              </w:rPr>
              <w:t>案例申报</w:t>
            </w:r>
            <w:r>
              <w:rPr>
                <w:rFonts w:hint="eastAsia" w:ascii="仿宋_GB2312" w:hAnsi="宋体" w:eastAsia="仿宋_GB2312" w:cs="仿宋_GB2312"/>
                <w:color w:val="000000"/>
                <w:kern w:val="0"/>
                <w:sz w:val="22"/>
                <w:szCs w:val="22"/>
              </w:rPr>
              <w:t>单位在</w:t>
            </w:r>
            <w:r>
              <w:rPr>
                <w:rFonts w:hint="eastAsia" w:ascii="仿宋_GB2312" w:hAnsi="宋体" w:eastAsia="仿宋_GB2312" w:cs="仿宋_GB2312"/>
                <w:color w:val="000000"/>
                <w:kern w:val="0"/>
                <w:sz w:val="22"/>
                <w:szCs w:val="22"/>
                <w:lang w:val="en-US" w:eastAsia="zh-CN"/>
              </w:rPr>
              <w:t>乡村振兴</w:t>
            </w:r>
            <w:r>
              <w:rPr>
                <w:rFonts w:hint="eastAsia" w:ascii="仿宋_GB2312" w:hAnsi="宋体" w:eastAsia="仿宋_GB2312" w:cs="仿宋_GB2312"/>
                <w:color w:val="000000"/>
                <w:kern w:val="0"/>
                <w:sz w:val="22"/>
                <w:szCs w:val="22"/>
              </w:rPr>
              <w:t>领域</w:t>
            </w:r>
            <w:r>
              <w:rPr>
                <w:rFonts w:hint="eastAsia" w:ascii="仿宋_GB2312" w:hAnsi="宋体" w:eastAsia="仿宋_GB2312" w:cs="仿宋_GB2312"/>
                <w:color w:val="000000"/>
                <w:kern w:val="0"/>
                <w:sz w:val="22"/>
                <w:szCs w:val="22"/>
                <w:lang w:val="en-US" w:eastAsia="zh-CN"/>
              </w:rPr>
              <w:t>所</w:t>
            </w:r>
            <w:r>
              <w:rPr>
                <w:rFonts w:hint="eastAsia" w:ascii="仿宋_GB2312" w:hAnsi="宋体" w:eastAsia="仿宋_GB2312" w:cs="仿宋_GB2312"/>
                <w:color w:val="000000"/>
                <w:kern w:val="0"/>
                <w:sz w:val="22"/>
                <w:szCs w:val="22"/>
              </w:rPr>
              <w:t>获得的相关荣誉）</w:t>
            </w:r>
          </w:p>
        </w:tc>
      </w:tr>
      <w:tr w14:paraId="4C3F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80" w:type="pct"/>
            <w:vAlign w:val="center"/>
          </w:tcPr>
          <w:p w14:paraId="54851392">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default"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eastAsia="zh-CN"/>
              </w:rPr>
              <w:t>附加材料</w:t>
            </w:r>
          </w:p>
        </w:tc>
        <w:tc>
          <w:tcPr>
            <w:tcW w:w="3819" w:type="pct"/>
            <w:gridSpan w:val="5"/>
            <w:vAlign w:val="center"/>
          </w:tcPr>
          <w:p w14:paraId="5E4BB2A6">
            <w:pPr>
              <w:widowControl/>
              <w:jc w:val="both"/>
              <w:textAlignment w:val="center"/>
              <w:rPr>
                <w:rFonts w:hint="eastAsia"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（有关图片</w:t>
            </w:r>
            <w:r>
              <w:rPr>
                <w:rFonts w:hint="eastAsia" w:ascii="仿宋_GB2312" w:hAnsi="宋体" w:eastAsia="仿宋_GB2312" w:cs="仿宋_GB2312"/>
                <w:color w:val="000000"/>
                <w:kern w:val="0"/>
                <w:sz w:val="22"/>
                <w:szCs w:val="22"/>
                <w:lang w:eastAsia="zh-CN"/>
              </w:rPr>
              <w:t>，</w:t>
            </w:r>
            <w:r>
              <w:rPr>
                <w:rFonts w:hint="eastAsia" w:ascii="仿宋_GB2312" w:hAnsi="宋体" w:eastAsia="仿宋_GB2312" w:cs="仿宋_GB2312"/>
                <w:color w:val="000000"/>
                <w:kern w:val="0"/>
                <w:sz w:val="22"/>
                <w:szCs w:val="22"/>
              </w:rPr>
              <w:t>音视频材料及媒体报道</w:t>
            </w:r>
            <w:r>
              <w:rPr>
                <w:rFonts w:hint="eastAsia" w:ascii="仿宋_GB2312" w:hAnsi="宋体" w:eastAsia="仿宋_GB2312" w:cs="仿宋_GB2312"/>
                <w:color w:val="000000"/>
                <w:kern w:val="0"/>
                <w:sz w:val="22"/>
                <w:szCs w:val="22"/>
                <w:lang w:eastAsia="zh-CN"/>
              </w:rPr>
              <w:t>页面链接、</w:t>
            </w:r>
            <w:r>
              <w:rPr>
                <w:rFonts w:hint="eastAsia" w:ascii="仿宋_GB2312" w:hAnsi="宋体" w:eastAsia="仿宋_GB2312" w:cs="仿宋_GB2312"/>
                <w:color w:val="000000"/>
                <w:kern w:val="0"/>
                <w:sz w:val="22"/>
                <w:szCs w:val="22"/>
              </w:rPr>
              <w:t>复印件</w:t>
            </w:r>
            <w:r>
              <w:rPr>
                <w:rFonts w:hint="eastAsia" w:ascii="仿宋_GB2312" w:hAnsi="宋体" w:eastAsia="仿宋_GB2312" w:cs="仿宋_GB2312"/>
                <w:color w:val="000000"/>
                <w:kern w:val="0"/>
                <w:sz w:val="22"/>
                <w:szCs w:val="22"/>
                <w:lang w:eastAsia="zh-CN"/>
              </w:rPr>
              <w:t>、</w:t>
            </w:r>
            <w:r>
              <w:rPr>
                <w:rFonts w:hint="eastAsia" w:ascii="仿宋_GB2312" w:hAnsi="宋体" w:eastAsia="仿宋_GB2312" w:cs="仿宋_GB2312"/>
                <w:color w:val="000000"/>
                <w:kern w:val="0"/>
                <w:sz w:val="22"/>
                <w:szCs w:val="22"/>
                <w:lang w:val="en-US" w:eastAsia="zh-CN"/>
              </w:rPr>
              <w:t>扫描件</w:t>
            </w:r>
            <w:r>
              <w:rPr>
                <w:rFonts w:hint="eastAsia" w:ascii="仿宋_GB2312" w:hAnsi="宋体" w:eastAsia="仿宋_GB2312" w:cs="仿宋_GB2312"/>
                <w:color w:val="000000"/>
                <w:kern w:val="0"/>
                <w:sz w:val="22"/>
                <w:szCs w:val="22"/>
              </w:rPr>
              <w:t>等</w:t>
            </w:r>
            <w:r>
              <w:rPr>
                <w:rFonts w:hint="eastAsia" w:ascii="仿宋_GB2312" w:hAnsi="宋体" w:eastAsia="仿宋_GB2312" w:cs="仿宋_GB2312"/>
                <w:color w:val="000000"/>
                <w:kern w:val="0"/>
                <w:sz w:val="22"/>
                <w:szCs w:val="22"/>
                <w:lang w:eastAsia="zh-CN"/>
              </w:rPr>
              <w:t>，</w:t>
            </w:r>
            <w:r>
              <w:rPr>
                <w:rFonts w:hint="eastAsia" w:ascii="仿宋_GB2312" w:hAnsi="宋体" w:eastAsia="仿宋_GB2312" w:cs="仿宋_GB2312"/>
                <w:color w:val="000000"/>
                <w:kern w:val="0"/>
                <w:sz w:val="22"/>
                <w:szCs w:val="22"/>
                <w:lang w:val="en-US" w:eastAsia="zh-CN"/>
              </w:rPr>
              <w:t>相关附件</w:t>
            </w:r>
            <w:r>
              <w:rPr>
                <w:rFonts w:hint="eastAsia" w:ascii="仿宋_GB2312" w:hAnsi="宋体" w:eastAsia="仿宋_GB2312" w:cs="仿宋_GB2312"/>
                <w:color w:val="000000"/>
                <w:kern w:val="0"/>
                <w:sz w:val="22"/>
                <w:szCs w:val="22"/>
                <w:lang w:eastAsia="zh-CN"/>
              </w:rPr>
              <w:t>请上传网盘并标注提取码</w:t>
            </w:r>
            <w:r>
              <w:rPr>
                <w:rFonts w:hint="eastAsia" w:ascii="仿宋_GB2312" w:hAnsi="宋体" w:eastAsia="仿宋_GB2312" w:cs="仿宋_GB2312"/>
                <w:color w:val="000000"/>
                <w:kern w:val="0"/>
                <w:sz w:val="22"/>
                <w:szCs w:val="22"/>
              </w:rPr>
              <w:t>）</w:t>
            </w:r>
          </w:p>
        </w:tc>
      </w:tr>
      <w:tr w14:paraId="3982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180" w:type="pct"/>
            <w:vAlign w:val="center"/>
          </w:tcPr>
          <w:p w14:paraId="54C981BD">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default"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eastAsia="zh-CN"/>
              </w:rPr>
              <w:t>推荐单位意见</w:t>
            </w:r>
          </w:p>
        </w:tc>
        <w:tc>
          <w:tcPr>
            <w:tcW w:w="3819" w:type="pct"/>
            <w:gridSpan w:val="5"/>
            <w:vAlign w:val="center"/>
          </w:tcPr>
          <w:p w14:paraId="0BDA4025">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rPr>
            </w:pPr>
          </w:p>
          <w:p w14:paraId="3D07D416">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rPr>
            </w:pPr>
          </w:p>
          <w:p w14:paraId="2CA44335">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textAlignment w:val="auto"/>
              <w:rPr>
                <w:rFonts w:hint="eastAsia"/>
              </w:rPr>
            </w:pPr>
            <w:r>
              <w:rPr>
                <w:rFonts w:hint="eastAsia"/>
              </w:rPr>
              <w:t>（须加盖报送单位盖章）</w:t>
            </w:r>
          </w:p>
          <w:p w14:paraId="715252DA">
            <w:pPr>
              <w:pStyle w:val="7"/>
              <w:keepNext w:val="0"/>
              <w:keepLines w:val="0"/>
              <w:pageBreakBefore w:val="0"/>
              <w:widowControl/>
              <w:kinsoku/>
              <w:wordWrap w:val="0"/>
              <w:overflowPunct/>
              <w:topLinePunct w:val="0"/>
              <w:autoSpaceDE/>
              <w:autoSpaceDN/>
              <w:bidi w:val="0"/>
              <w:adjustRightInd w:val="0"/>
              <w:snapToGrid w:val="0"/>
              <w:spacing w:before="313" w:beforeLines="100" w:line="240" w:lineRule="auto"/>
              <w:ind w:firstLine="0" w:firstLineChars="0"/>
              <w:jc w:val="right"/>
              <w:textAlignment w:val="auto"/>
              <w:rPr>
                <w:rFonts w:hint="default" w:eastAsia="宋体"/>
                <w:lang w:val="en-US" w:eastAsia="zh-CN"/>
              </w:rPr>
            </w:pPr>
            <w:r>
              <w:rPr>
                <w:rFonts w:hint="eastAsia"/>
              </w:rPr>
              <w:t>202</w:t>
            </w:r>
            <w:r>
              <w:rPr>
                <w:rFonts w:hint="eastAsia"/>
                <w:lang w:val="en-US" w:eastAsia="zh-CN"/>
              </w:rPr>
              <w:t>5</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p>
        </w:tc>
      </w:tr>
      <w:tr w14:paraId="2975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0" w:type="pct"/>
            <w:vAlign w:val="center"/>
          </w:tcPr>
          <w:p w14:paraId="14138E8A">
            <w:pPr>
              <w:pStyle w:val="7"/>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rPr>
                <w:rFonts w:hint="default" w:ascii="黑体" w:hAnsi="黑体" w:eastAsia="黑体" w:cs="黑体"/>
                <w:snapToGrid/>
                <w:kern w:val="2"/>
                <w:sz w:val="22"/>
                <w:szCs w:val="22"/>
                <w:lang w:val="en-US" w:eastAsia="zh-CN"/>
              </w:rPr>
            </w:pPr>
            <w:r>
              <w:rPr>
                <w:rFonts w:hint="eastAsia" w:ascii="黑体" w:hAnsi="黑体" w:eastAsia="黑体" w:cs="黑体"/>
                <w:snapToGrid/>
                <w:kern w:val="2"/>
                <w:sz w:val="22"/>
                <w:szCs w:val="22"/>
                <w:lang w:val="en-US" w:eastAsia="zh-CN"/>
              </w:rPr>
              <w:t>备注</w:t>
            </w:r>
          </w:p>
        </w:tc>
        <w:tc>
          <w:tcPr>
            <w:tcW w:w="3819" w:type="pct"/>
            <w:gridSpan w:val="5"/>
            <w:vAlign w:val="center"/>
          </w:tcPr>
          <w:p w14:paraId="3B5FBCEB">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黑体" w:hAnsi="黑体" w:eastAsia="黑体" w:cs="黑体"/>
                <w:snapToGrid/>
                <w:kern w:val="2"/>
                <w:sz w:val="21"/>
                <w:szCs w:val="21"/>
                <w:lang w:val="en-US" w:eastAsia="zh-CN"/>
              </w:rPr>
            </w:pPr>
            <w:r>
              <w:rPr>
                <w:rFonts w:hint="eastAsia" w:ascii="黑体" w:hAnsi="黑体" w:eastAsia="黑体" w:cs="黑体"/>
                <w:snapToGrid/>
                <w:kern w:val="2"/>
                <w:sz w:val="21"/>
                <w:szCs w:val="21"/>
                <w:lang w:val="en-US" w:eastAsia="zh-CN"/>
              </w:rPr>
              <w:t>请将电子版发送至：</w:t>
            </w:r>
            <w:r>
              <w:rPr>
                <w:rFonts w:hint="eastAsia" w:ascii="黑体" w:hAnsi="黑体" w:eastAsia="黑体" w:cs="黑体"/>
                <w:snapToGrid/>
                <w:kern w:val="2"/>
                <w:sz w:val="21"/>
                <w:szCs w:val="21"/>
                <w:lang w:val="en-US" w:eastAsia="zh-CN"/>
              </w:rPr>
              <w:fldChar w:fldCharType="begin"/>
            </w:r>
            <w:r>
              <w:rPr>
                <w:rFonts w:hint="eastAsia" w:ascii="黑体" w:hAnsi="黑体" w:eastAsia="黑体" w:cs="黑体"/>
                <w:snapToGrid/>
                <w:kern w:val="2"/>
                <w:sz w:val="21"/>
                <w:szCs w:val="21"/>
                <w:lang w:val="en-US" w:eastAsia="zh-CN"/>
              </w:rPr>
              <w:instrText xml:space="preserve"> HYPERLINK "mailto:xczx@people.cn" </w:instrText>
            </w:r>
            <w:r>
              <w:rPr>
                <w:rFonts w:hint="eastAsia" w:ascii="黑体" w:hAnsi="黑体" w:eastAsia="黑体" w:cs="黑体"/>
                <w:snapToGrid/>
                <w:kern w:val="2"/>
                <w:sz w:val="21"/>
                <w:szCs w:val="21"/>
                <w:lang w:val="en-US" w:eastAsia="zh-CN"/>
              </w:rPr>
              <w:fldChar w:fldCharType="separate"/>
            </w:r>
            <w:r>
              <w:rPr>
                <w:rFonts w:hint="eastAsia" w:ascii="黑体" w:hAnsi="黑体" w:eastAsia="黑体" w:cs="黑体"/>
                <w:snapToGrid/>
                <w:kern w:val="2"/>
                <w:sz w:val="21"/>
                <w:szCs w:val="21"/>
                <w:lang w:val="en-US" w:eastAsia="zh-CN"/>
              </w:rPr>
              <w:t>xczx@news.cn</w:t>
            </w:r>
            <w:r>
              <w:rPr>
                <w:rFonts w:hint="eastAsia" w:ascii="黑体" w:hAnsi="黑体" w:eastAsia="黑体" w:cs="黑体"/>
                <w:snapToGrid/>
                <w:kern w:val="2"/>
                <w:sz w:val="21"/>
                <w:szCs w:val="21"/>
                <w:lang w:val="en-US" w:eastAsia="zh-CN"/>
              </w:rPr>
              <w:fldChar w:fldCharType="end"/>
            </w:r>
            <w:r>
              <w:rPr>
                <w:rFonts w:hint="eastAsia" w:ascii="黑体" w:hAnsi="黑体" w:eastAsia="黑体" w:cs="黑体"/>
                <w:snapToGrid/>
                <w:kern w:val="2"/>
                <w:sz w:val="21"/>
                <w:szCs w:val="21"/>
                <w:lang w:val="en-US" w:eastAsia="zh-CN"/>
              </w:rPr>
              <w:t xml:space="preserve">     </w:t>
            </w:r>
          </w:p>
          <w:p w14:paraId="3623BA98">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黑体" w:hAnsi="黑体" w:eastAsia="黑体" w:cs="黑体"/>
                <w:snapToGrid/>
                <w:kern w:val="2"/>
                <w:sz w:val="21"/>
                <w:szCs w:val="21"/>
                <w:lang w:val="en-US" w:eastAsia="zh-CN"/>
              </w:rPr>
            </w:pPr>
            <w:r>
              <w:rPr>
                <w:rFonts w:hint="eastAsia" w:ascii="黑体" w:hAnsi="黑体" w:eastAsia="黑体" w:cs="黑体"/>
                <w:snapToGrid/>
                <w:kern w:val="2"/>
                <w:sz w:val="21"/>
                <w:szCs w:val="21"/>
                <w:lang w:val="en-US"/>
              </w:rPr>
              <w:t>邮件主题：</w:t>
            </w:r>
            <w:r>
              <w:rPr>
                <w:rFonts w:hint="eastAsia" w:ascii="黑体" w:hAnsi="黑体" w:eastAsia="黑体" w:cs="黑体"/>
                <w:snapToGrid/>
                <w:kern w:val="2"/>
                <w:sz w:val="21"/>
                <w:szCs w:val="21"/>
                <w:lang w:val="en-US" w:eastAsia="zh-CN"/>
              </w:rPr>
              <w:t>案例名称+案例形式+主体单位+联系方式</w:t>
            </w:r>
          </w:p>
          <w:p w14:paraId="17C72CA8">
            <w:pPr>
              <w:pStyle w:val="7"/>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eastAsia="宋体"/>
                <w:lang w:val="en-US" w:eastAsia="zh-CN"/>
              </w:rPr>
            </w:pPr>
            <w:r>
              <w:rPr>
                <w:rFonts w:hint="eastAsia" w:ascii="黑体" w:hAnsi="黑体" w:eastAsia="黑体" w:cs="黑体"/>
                <w:snapToGrid/>
                <w:kern w:val="2"/>
                <w:sz w:val="21"/>
                <w:szCs w:val="21"/>
                <w:lang w:val="en-US" w:eastAsia="zh-CN"/>
              </w:rPr>
              <w:t>联系电话：010-88050395</w:t>
            </w:r>
          </w:p>
        </w:tc>
      </w:tr>
    </w:tbl>
    <w:p w14:paraId="0BCCE2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27836"/>
    <w:rsid w:val="2FB76653"/>
    <w:rsid w:val="72427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Body Text First Indent 21"/>
    <w:basedOn w:val="6"/>
    <w:qFormat/>
    <w:uiPriority w:val="0"/>
    <w:pPr>
      <w:ind w:left="0" w:firstLine="420"/>
    </w:pPr>
    <w:rPr>
      <w:rFonts w:ascii="仿宋_GB2312" w:cs="仿宋_GB2312"/>
    </w:rPr>
  </w:style>
  <w:style w:type="paragraph" w:customStyle="1" w:styleId="6">
    <w:name w:val="Body Text Indent1"/>
    <w:basedOn w:val="1"/>
    <w:qFormat/>
    <w:uiPriority w:val="0"/>
    <w:pPr>
      <w:spacing w:after="120"/>
      <w:ind w:left="200" w:leftChars="200"/>
    </w:pPr>
    <w:rPr>
      <w:rFonts w:ascii="Times New Roman" w:hAnsi="Times New Roman" w:eastAsia="仿宋_GB2312" w:cs="Times New Roman"/>
      <w:sz w:val="32"/>
      <w:szCs w:val="32"/>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2025-07-22T05:55:00Z</dcterms:created>
  <dc:creator>李欣池</dc:creator>
  <cp:lastModifiedBy>李欣池</cp:lastModifiedBy>
  <dcterms:modified xsi:type="dcterms:W3CDTF">2025-07-22T05:56:28Z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3976FB1E009940518096E4D7707B4070_11</vt:lpwstr>
  </property>
  <property fmtid="{D5CDD505-2E9C-101B-9397-08002B2CF9AE}" pid="4" name="KSOTemplateDocerSaveRecord">
    <vt:lpwstr>eyJoZGlkIjoiZGZkODVmYzBhM2Y4NzUyMjhkYWUzYzQxZjVmNTQwY2UiLCJ1c2VySWQiOiI2NzM4MjM0MjEifQ==</vt:lpwstr>
  </property>
</Properties>
</file>